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FF" w:rsidRPr="00052EFF" w:rsidRDefault="00052EFF">
      <w:pPr>
        <w:rPr>
          <w:rFonts w:ascii="Arial" w:hAnsi="Arial" w:cs="Arial"/>
          <w:b/>
          <w:sz w:val="24"/>
          <w:szCs w:val="24"/>
        </w:rPr>
      </w:pPr>
      <w:r w:rsidRPr="00052EFF">
        <w:rPr>
          <w:rFonts w:ascii="Arial" w:hAnsi="Arial" w:cs="Arial"/>
          <w:b/>
          <w:sz w:val="24"/>
          <w:szCs w:val="24"/>
        </w:rPr>
        <w:t>TOWS EXAMPLE CAPITEC BANK PTY LTD</w:t>
      </w:r>
    </w:p>
    <w:p w:rsidR="00052EFF" w:rsidRPr="00052EFF" w:rsidRDefault="00052EFF">
      <w:pPr>
        <w:rPr>
          <w:rFonts w:ascii="Arial" w:hAnsi="Arial" w:cs="Arial"/>
          <w:i/>
          <w:sz w:val="16"/>
          <w:szCs w:val="16"/>
        </w:rPr>
      </w:pPr>
      <w:r w:rsidRPr="00052EFF">
        <w:rPr>
          <w:rFonts w:ascii="Arial" w:hAnsi="Arial" w:cs="Arial"/>
          <w:i/>
          <w:sz w:val="16"/>
          <w:szCs w:val="16"/>
        </w:rPr>
        <w:t>Developed by Mzoxolo Gulwa for education purposes only, May 2019</w:t>
      </w:r>
    </w:p>
    <w:tbl>
      <w:tblPr>
        <w:tblpPr w:leftFromText="180" w:rightFromText="180" w:vertAnchor="text" w:horzAnchor="margin" w:tblpY="408"/>
        <w:tblW w:w="9542" w:type="dxa"/>
        <w:tblCellMar>
          <w:left w:w="0" w:type="dxa"/>
          <w:right w:w="0" w:type="dxa"/>
        </w:tblCellMar>
        <w:tblLook w:val="0600" w:firstRow="0" w:lastRow="0" w:firstColumn="0" w:lastColumn="0" w:noHBand="1" w:noVBand="1"/>
      </w:tblPr>
      <w:tblGrid>
        <w:gridCol w:w="3219"/>
        <w:gridCol w:w="3092"/>
        <w:gridCol w:w="3231"/>
      </w:tblGrid>
      <w:tr w:rsidR="00052EFF" w:rsidRPr="00052EFF" w:rsidTr="00052EFF">
        <w:trPr>
          <w:trHeight w:val="3286"/>
        </w:trPr>
        <w:tc>
          <w:tcPr>
            <w:tcW w:w="321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2EFF" w:rsidRPr="00052EFF" w:rsidRDefault="00052EFF" w:rsidP="00052EFF">
            <w:pPr>
              <w:spacing w:after="0" w:line="240" w:lineRule="auto"/>
              <w:rPr>
                <w:rFonts w:ascii="Arial" w:eastAsia="Times New Roman" w:hAnsi="Arial" w:cs="Arial"/>
                <w:lang w:eastAsia="en-ZA"/>
              </w:rPr>
            </w:pPr>
          </w:p>
        </w:tc>
        <w:tc>
          <w:tcPr>
            <w:tcW w:w="309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2EFF" w:rsidRPr="00052EFF" w:rsidRDefault="00052EFF" w:rsidP="00052EFF">
            <w:pPr>
              <w:spacing w:before="134" w:after="0" w:line="240" w:lineRule="auto"/>
              <w:ind w:left="835" w:hanging="835"/>
              <w:textAlignment w:val="baseline"/>
              <w:rPr>
                <w:rFonts w:ascii="Arial" w:eastAsia="Times New Roman" w:hAnsi="Arial" w:cs="Arial"/>
                <w:lang w:eastAsia="en-ZA"/>
              </w:rPr>
            </w:pPr>
            <w:r w:rsidRPr="00052EFF">
              <w:rPr>
                <w:rFonts w:ascii="Arial" w:eastAsia="Times New Roman" w:hAnsi="Arial" w:cs="Arial"/>
                <w:b/>
                <w:bCs/>
                <w:color w:val="000000"/>
                <w:kern w:val="24"/>
                <w:position w:val="1"/>
                <w:u w:val="single"/>
                <w:lang w:val="en-US" w:eastAsia="en-ZA"/>
              </w:rPr>
              <w:t>Strengths</w:t>
            </w:r>
          </w:p>
          <w:p w:rsidR="00052EFF" w:rsidRDefault="00052EFF" w:rsidP="00052EFF">
            <w:pPr>
              <w:spacing w:after="0" w:line="240" w:lineRule="auto"/>
              <w:contextualSpacing/>
              <w:textAlignment w:val="baseline"/>
              <w:rPr>
                <w:rFonts w:ascii="Arial" w:eastAsia="Times New Roman" w:hAnsi="Arial" w:cs="Arial"/>
                <w:color w:val="000000"/>
                <w:kern w:val="24"/>
                <w:lang w:val="en-US" w:eastAsia="en-ZA"/>
              </w:rPr>
            </w:pPr>
          </w:p>
          <w:p w:rsidR="00052EFF" w:rsidRPr="00052EFF" w:rsidRDefault="00052EFF" w:rsidP="00052EFF">
            <w:pPr>
              <w:contextualSpacing/>
              <w:textAlignment w:val="baseline"/>
              <w:rPr>
                <w:rFonts w:ascii="Arial" w:hAnsi="Arial" w:cs="Arial"/>
                <w:color w:val="000000"/>
                <w:kern w:val="24"/>
              </w:rPr>
            </w:pPr>
            <w:r w:rsidRPr="00052EFF">
              <w:rPr>
                <w:rFonts w:ascii="Arial" w:eastAsia="Times New Roman" w:hAnsi="Arial" w:cs="Arial"/>
                <w:color w:val="000000"/>
                <w:kern w:val="24"/>
                <w:lang w:val="en-US"/>
              </w:rPr>
              <w:t xml:space="preserve">S1.  Strong shareholder backing as seen in share price growth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 xml:space="preserve">S2. Simplified offering (Global One account), which is also seen as transparent in terms of its fee structure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S3. Perception of being ‘cheapest bank’ / low transaction costs</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S4. Perception of being innovative and ‘trend setter’</w:t>
            </w:r>
          </w:p>
          <w:p w:rsidR="00052EFF" w:rsidRPr="00052EFF" w:rsidRDefault="00052EFF" w:rsidP="00052EFF">
            <w:pPr>
              <w:spacing w:after="0" w:line="240" w:lineRule="auto"/>
              <w:contextualSpacing/>
              <w:textAlignment w:val="baseline"/>
              <w:rPr>
                <w:rFonts w:ascii="Arial" w:eastAsia="Times New Roman" w:hAnsi="Arial" w:cs="Arial"/>
                <w:color w:val="CCCCFF"/>
                <w:lang w:eastAsia="en-ZA"/>
              </w:rPr>
            </w:pPr>
          </w:p>
        </w:tc>
        <w:tc>
          <w:tcPr>
            <w:tcW w:w="323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52EFF" w:rsidRPr="00052EFF" w:rsidRDefault="00052EFF" w:rsidP="00052EFF">
            <w:pPr>
              <w:spacing w:before="134" w:after="0" w:line="240" w:lineRule="auto"/>
              <w:ind w:left="835" w:hanging="835"/>
              <w:textAlignment w:val="baseline"/>
              <w:rPr>
                <w:rFonts w:ascii="Arial" w:eastAsia="Times New Roman" w:hAnsi="Arial" w:cs="Arial"/>
                <w:lang w:eastAsia="en-ZA"/>
              </w:rPr>
            </w:pPr>
            <w:r w:rsidRPr="00052EFF">
              <w:rPr>
                <w:rFonts w:ascii="Arial" w:eastAsia="Times New Roman" w:hAnsi="Arial" w:cs="Arial"/>
                <w:b/>
                <w:bCs/>
                <w:color w:val="000000"/>
                <w:kern w:val="24"/>
                <w:position w:val="1"/>
                <w:u w:val="single"/>
                <w:lang w:val="en-US" w:eastAsia="en-ZA"/>
              </w:rPr>
              <w:t>Weakness</w:t>
            </w:r>
          </w:p>
          <w:p w:rsidR="00052EFF" w:rsidRDefault="00052EFF" w:rsidP="00052EFF">
            <w:pPr>
              <w:spacing w:after="0" w:line="240" w:lineRule="auto"/>
              <w:contextualSpacing/>
              <w:textAlignment w:val="baseline"/>
              <w:rPr>
                <w:rFonts w:ascii="Arial" w:eastAsia="Times New Roman" w:hAnsi="Arial" w:cs="Arial"/>
                <w:color w:val="000000"/>
                <w:kern w:val="24"/>
                <w:lang w:val="en-US" w:eastAsia="en-ZA"/>
              </w:rPr>
            </w:pPr>
          </w:p>
          <w:p w:rsidR="00052EFF" w:rsidRPr="00052EFF" w:rsidRDefault="00052EFF" w:rsidP="00052EFF">
            <w:pPr>
              <w:contextualSpacing/>
              <w:textAlignment w:val="baseline"/>
              <w:rPr>
                <w:rFonts w:ascii="Arial" w:hAnsi="Arial" w:cs="Arial"/>
                <w:color w:val="000000"/>
                <w:kern w:val="24"/>
              </w:rPr>
            </w:pPr>
            <w:r w:rsidRPr="00052EFF">
              <w:rPr>
                <w:rFonts w:ascii="Arial" w:eastAsia="Times New Roman" w:hAnsi="Arial" w:cs="Arial"/>
                <w:color w:val="000000"/>
                <w:kern w:val="24"/>
                <w:lang w:val="en-US"/>
              </w:rPr>
              <w:t>W1. Highly reliant on unsecured lending</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 xml:space="preserve">W2. No rewards programme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 xml:space="preserve">W3. Low market share in the civil servant space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W4. Fewer products and services</w:t>
            </w:r>
          </w:p>
          <w:p w:rsidR="00052EFF" w:rsidRPr="00052EFF" w:rsidRDefault="00052EFF" w:rsidP="00052EFF">
            <w:pPr>
              <w:spacing w:after="0" w:line="240" w:lineRule="auto"/>
              <w:contextualSpacing/>
              <w:textAlignment w:val="baseline"/>
              <w:rPr>
                <w:rFonts w:ascii="Arial" w:eastAsia="Times New Roman" w:hAnsi="Arial" w:cs="Arial"/>
                <w:color w:val="CCCCFF"/>
                <w:lang w:eastAsia="en-ZA"/>
              </w:rPr>
            </w:pPr>
          </w:p>
        </w:tc>
      </w:tr>
      <w:tr w:rsidR="00052EFF" w:rsidRPr="00052EFF" w:rsidTr="00052EFF">
        <w:trPr>
          <w:trHeight w:val="4263"/>
        </w:trPr>
        <w:tc>
          <w:tcPr>
            <w:tcW w:w="321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2EFF" w:rsidRPr="00052EFF" w:rsidRDefault="00052EFF" w:rsidP="00052EFF">
            <w:pPr>
              <w:spacing w:before="134" w:after="0" w:line="240" w:lineRule="auto"/>
              <w:ind w:left="835" w:hanging="835"/>
              <w:textAlignment w:val="baseline"/>
              <w:rPr>
                <w:rFonts w:ascii="Arial" w:eastAsia="Times New Roman" w:hAnsi="Arial" w:cs="Arial"/>
                <w:lang w:eastAsia="en-ZA"/>
              </w:rPr>
            </w:pPr>
            <w:r w:rsidRPr="00052EFF">
              <w:rPr>
                <w:rFonts w:ascii="Arial" w:eastAsia="Times New Roman" w:hAnsi="Arial" w:cs="Arial"/>
                <w:b/>
                <w:bCs/>
                <w:color w:val="000000"/>
                <w:kern w:val="24"/>
                <w:position w:val="1"/>
                <w:u w:val="single"/>
                <w:lang w:val="en-US" w:eastAsia="en-ZA"/>
              </w:rPr>
              <w:t>Opportunities</w:t>
            </w:r>
          </w:p>
          <w:p w:rsidR="00052EFF" w:rsidRDefault="00052EFF" w:rsidP="00052EFF">
            <w:pPr>
              <w:spacing w:after="0" w:line="240" w:lineRule="auto"/>
              <w:contextualSpacing/>
              <w:textAlignment w:val="baseline"/>
              <w:rPr>
                <w:rFonts w:ascii="Arial" w:eastAsia="Times New Roman" w:hAnsi="Arial" w:cs="Arial"/>
                <w:color w:val="000000"/>
                <w:kern w:val="24"/>
                <w:lang w:val="en-US" w:eastAsia="en-ZA"/>
              </w:rPr>
            </w:pPr>
          </w:p>
          <w:p w:rsidR="00052EFF" w:rsidRPr="00052EFF" w:rsidRDefault="00052EFF" w:rsidP="00052EFF">
            <w:pPr>
              <w:contextualSpacing/>
              <w:textAlignment w:val="baseline"/>
              <w:rPr>
                <w:rFonts w:ascii="Arial" w:hAnsi="Arial" w:cs="Arial"/>
                <w:color w:val="000000"/>
                <w:kern w:val="24"/>
              </w:rPr>
            </w:pPr>
            <w:r w:rsidRPr="00052EFF">
              <w:rPr>
                <w:rFonts w:ascii="Arial" w:eastAsia="Times New Roman" w:hAnsi="Arial" w:cs="Arial"/>
                <w:color w:val="000000"/>
                <w:kern w:val="24"/>
                <w:lang w:val="en-US"/>
              </w:rPr>
              <w:t>O1. Price sensitive consumers, across segments</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 xml:space="preserve">O2. Higher income clients looking for credit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 xml:space="preserve">O3. Major banks are limiting exposure to unsecured lending </w:t>
            </w:r>
          </w:p>
          <w:p w:rsidR="00052EFF" w:rsidRPr="00052EFF" w:rsidRDefault="00052EFF" w:rsidP="00052EFF">
            <w:pPr>
              <w:spacing w:after="0" w:line="240" w:lineRule="auto"/>
              <w:contextualSpacing/>
              <w:textAlignment w:val="baseline"/>
              <w:rPr>
                <w:rFonts w:ascii="Arial" w:eastAsia="Times New Roman" w:hAnsi="Arial" w:cs="Arial"/>
                <w:color w:val="000000"/>
                <w:kern w:val="24"/>
                <w:lang w:eastAsia="en-ZA"/>
              </w:rPr>
            </w:pPr>
            <w:r w:rsidRPr="00052EFF">
              <w:rPr>
                <w:rFonts w:ascii="Arial" w:eastAsia="Times New Roman" w:hAnsi="Arial" w:cs="Arial"/>
                <w:color w:val="000000"/>
                <w:kern w:val="24"/>
                <w:lang w:val="en-US" w:eastAsia="en-ZA"/>
              </w:rPr>
              <w:t>O4. Only 1.8 million people have mortgages  out of 15 million South African with credit records</w:t>
            </w:r>
          </w:p>
          <w:p w:rsidR="00052EFF" w:rsidRPr="00052EFF" w:rsidRDefault="00052EFF" w:rsidP="00052EFF">
            <w:pPr>
              <w:spacing w:after="0" w:line="240" w:lineRule="auto"/>
              <w:contextualSpacing/>
              <w:textAlignment w:val="baseline"/>
              <w:rPr>
                <w:rFonts w:ascii="Arial" w:eastAsia="Times New Roman" w:hAnsi="Arial" w:cs="Arial"/>
                <w:color w:val="CCCCFF"/>
                <w:lang w:eastAsia="en-ZA"/>
              </w:rPr>
            </w:pPr>
          </w:p>
        </w:tc>
        <w:tc>
          <w:tcPr>
            <w:tcW w:w="3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r w:rsidRPr="00052EFF">
              <w:rPr>
                <w:rFonts w:ascii="Arial" w:eastAsia="Times New Roman" w:hAnsi="Arial" w:cs="Arial"/>
                <w:b/>
                <w:color w:val="000000"/>
                <w:kern w:val="24"/>
                <w:u w:val="single"/>
                <w:lang w:val="en-US" w:eastAsia="en-ZA"/>
              </w:rPr>
              <w:t>SO OPTIONS</w:t>
            </w:r>
          </w:p>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p>
          <w:p w:rsidR="00052EFF" w:rsidRPr="00052EFF" w:rsidRDefault="00052EFF" w:rsidP="00052EFF">
            <w:pPr>
              <w:pStyle w:val="ListParagraph"/>
              <w:numPr>
                <w:ilvl w:val="0"/>
                <w:numId w:val="5"/>
              </w:numPr>
              <w:spacing w:before="96" w:after="0" w:line="240" w:lineRule="auto"/>
              <w:textAlignment w:val="baseline"/>
              <w:rPr>
                <w:rFonts w:ascii="Arial" w:eastAsia="Times New Roman" w:hAnsi="Arial" w:cs="Arial"/>
                <w:lang w:eastAsia="en-ZA"/>
              </w:rPr>
            </w:pPr>
            <w:r w:rsidRPr="00052EFF">
              <w:rPr>
                <w:rFonts w:ascii="Arial" w:eastAsia="Times New Roman" w:hAnsi="Arial" w:cs="Arial"/>
                <w:bCs/>
                <w:lang w:val="en-US" w:eastAsia="en-ZA"/>
              </w:rPr>
              <w:t xml:space="preserve">S2, S3 + O1: </w:t>
            </w:r>
            <w:r w:rsidRPr="00052EFF">
              <w:rPr>
                <w:rFonts w:ascii="Arial" w:eastAsia="Times New Roman" w:hAnsi="Arial" w:cs="Arial"/>
                <w:lang w:eastAsia="en-ZA"/>
              </w:rPr>
              <w:t xml:space="preserve">Capitec can use its low-priced transactional offering to attract price sensitive middle and high income clients. This can be done through in-branch marketing e.g. posters in windows at the Capitec branches situated in affluent locations as well as advertising in media channels favoured by middle and higher income clients. Result will be Capitec gaining market share in these important segments. </w:t>
            </w:r>
          </w:p>
          <w:p w:rsidR="00052EFF" w:rsidRPr="00052EFF" w:rsidRDefault="00052EFF" w:rsidP="00052EFF">
            <w:pPr>
              <w:spacing w:before="96" w:after="0" w:line="240" w:lineRule="auto"/>
              <w:textAlignment w:val="baseline"/>
              <w:rPr>
                <w:rFonts w:ascii="Arial" w:eastAsia="Times New Roman" w:hAnsi="Arial" w:cs="Arial"/>
                <w:b/>
                <w:u w:val="single"/>
                <w:lang w:eastAsia="en-ZA"/>
              </w:rPr>
            </w:pPr>
          </w:p>
        </w:tc>
        <w:tc>
          <w:tcPr>
            <w:tcW w:w="323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r w:rsidRPr="00052EFF">
              <w:rPr>
                <w:rFonts w:ascii="Arial" w:eastAsia="Times New Roman" w:hAnsi="Arial" w:cs="Arial"/>
                <w:b/>
                <w:color w:val="000000"/>
                <w:kern w:val="24"/>
                <w:u w:val="single"/>
                <w:lang w:val="en-US" w:eastAsia="en-ZA"/>
              </w:rPr>
              <w:t xml:space="preserve">WO OPTIONS </w:t>
            </w:r>
          </w:p>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p>
          <w:p w:rsidR="00052EFF" w:rsidRPr="00052EFF" w:rsidRDefault="00052EFF" w:rsidP="00052EFF">
            <w:pPr>
              <w:pStyle w:val="ListParagraph"/>
              <w:numPr>
                <w:ilvl w:val="0"/>
                <w:numId w:val="5"/>
              </w:numPr>
              <w:spacing w:before="96"/>
              <w:textAlignment w:val="baseline"/>
              <w:rPr>
                <w:rFonts w:ascii="Arial" w:eastAsia="Times New Roman" w:hAnsi="Arial" w:cs="Arial"/>
                <w:lang w:eastAsia="en-ZA"/>
              </w:rPr>
            </w:pPr>
            <w:r w:rsidRPr="00052EFF">
              <w:rPr>
                <w:rFonts w:ascii="Arial" w:eastAsia="Times New Roman" w:hAnsi="Arial" w:cs="Arial"/>
                <w:bCs/>
                <w:lang w:val="en-US" w:eastAsia="en-ZA"/>
              </w:rPr>
              <w:t xml:space="preserve">W1 + O4: </w:t>
            </w:r>
            <w:r w:rsidRPr="00052EFF">
              <w:rPr>
                <w:rFonts w:ascii="Arial" w:eastAsia="Times New Roman" w:hAnsi="Arial" w:cs="Arial"/>
                <w:lang w:val="en-US" w:eastAsia="en-ZA"/>
              </w:rPr>
              <w:t xml:space="preserve">Capitec can diversify its credit book by entering the secured lending space i.e. provision of home loans. Doing so, and if successful, the bank will reduce reliance on the unsecured lending market, which is too risky as seen in the failure of African Bank. We suggest a home loans strategy focused on higher earning civil servants and middle-affluent clients </w:t>
            </w:r>
            <w:r w:rsidRPr="00052EFF">
              <w:rPr>
                <w:rFonts w:ascii="Arial" w:eastAsia="Times New Roman" w:hAnsi="Arial" w:cs="Arial"/>
                <w:lang w:eastAsia="en-ZA"/>
              </w:rPr>
              <w:t xml:space="preserve">with very good credit records. </w:t>
            </w:r>
          </w:p>
          <w:p w:rsidR="00052EFF" w:rsidRPr="00052EFF" w:rsidRDefault="00052EFF" w:rsidP="00052EFF">
            <w:pPr>
              <w:pStyle w:val="ListParagraph"/>
              <w:spacing w:before="96" w:after="0" w:line="240" w:lineRule="auto"/>
              <w:textAlignment w:val="baseline"/>
              <w:rPr>
                <w:rFonts w:ascii="Arial" w:eastAsia="Times New Roman" w:hAnsi="Arial" w:cs="Arial"/>
                <w:b/>
                <w:u w:val="single"/>
                <w:lang w:eastAsia="en-ZA"/>
              </w:rPr>
            </w:pPr>
          </w:p>
        </w:tc>
      </w:tr>
      <w:tr w:rsidR="00052EFF" w:rsidRPr="00052EFF" w:rsidTr="00052EFF">
        <w:trPr>
          <w:trHeight w:val="4622"/>
        </w:trPr>
        <w:tc>
          <w:tcPr>
            <w:tcW w:w="321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52EFF" w:rsidRPr="00052EFF" w:rsidRDefault="00052EFF" w:rsidP="00052EFF">
            <w:pPr>
              <w:spacing w:before="134" w:after="0" w:line="240" w:lineRule="auto"/>
              <w:ind w:left="835" w:hanging="835"/>
              <w:textAlignment w:val="baseline"/>
              <w:rPr>
                <w:rFonts w:ascii="Arial" w:eastAsia="Times New Roman" w:hAnsi="Arial" w:cs="Arial"/>
                <w:lang w:eastAsia="en-ZA"/>
              </w:rPr>
            </w:pPr>
            <w:r w:rsidRPr="00052EFF">
              <w:rPr>
                <w:rFonts w:ascii="Arial" w:eastAsia="Times New Roman" w:hAnsi="Arial" w:cs="Arial"/>
                <w:b/>
                <w:bCs/>
                <w:color w:val="000000"/>
                <w:kern w:val="24"/>
                <w:position w:val="1"/>
                <w:u w:val="single"/>
                <w:lang w:val="en-US" w:eastAsia="en-ZA"/>
              </w:rPr>
              <w:lastRenderedPageBreak/>
              <w:t>Threats</w:t>
            </w:r>
          </w:p>
          <w:p w:rsidR="00052EFF" w:rsidRDefault="00052EFF" w:rsidP="00052EFF">
            <w:pPr>
              <w:spacing w:after="0" w:line="240" w:lineRule="auto"/>
              <w:contextualSpacing/>
              <w:textAlignment w:val="baseline"/>
              <w:rPr>
                <w:rFonts w:ascii="Arial" w:eastAsia="Times New Roman" w:hAnsi="Arial" w:cs="Arial"/>
                <w:color w:val="CCCCFF"/>
                <w:lang w:eastAsia="en-ZA"/>
              </w:rPr>
            </w:pPr>
          </w:p>
          <w:p w:rsidR="00052EFF" w:rsidRPr="00052EFF" w:rsidRDefault="00052EFF" w:rsidP="00052EFF">
            <w:pPr>
              <w:contextualSpacing/>
              <w:textAlignment w:val="baseline"/>
              <w:rPr>
                <w:rFonts w:ascii="Arial" w:eastAsia="Times New Roman" w:hAnsi="Arial" w:cs="Arial"/>
                <w:color w:val="000000"/>
                <w:kern w:val="24"/>
                <w:lang w:val="en-US"/>
              </w:rPr>
            </w:pPr>
            <w:r w:rsidRPr="00052EFF">
              <w:rPr>
                <w:rFonts w:ascii="Arial" w:eastAsia="Times New Roman" w:hAnsi="Arial" w:cs="Arial"/>
                <w:color w:val="000000"/>
                <w:kern w:val="24"/>
                <w:lang w:val="en-US"/>
              </w:rPr>
              <w:t>T1. Replication of its affordable Global One account by other banks</w:t>
            </w:r>
          </w:p>
          <w:p w:rsidR="00052EFF" w:rsidRPr="00052EFF" w:rsidRDefault="00052EFF" w:rsidP="00052EFF">
            <w:pPr>
              <w:contextualSpacing/>
              <w:textAlignment w:val="baseline"/>
              <w:rPr>
                <w:rFonts w:ascii="Arial" w:eastAsia="Times New Roman" w:hAnsi="Arial" w:cs="Arial"/>
                <w:color w:val="000000"/>
                <w:kern w:val="24"/>
                <w:lang w:val="en-US"/>
              </w:rPr>
            </w:pPr>
            <w:r w:rsidRPr="00052EFF">
              <w:rPr>
                <w:rFonts w:ascii="Arial" w:eastAsia="Times New Roman" w:hAnsi="Arial" w:cs="Arial"/>
                <w:color w:val="000000"/>
                <w:kern w:val="24"/>
                <w:lang w:val="en-US"/>
              </w:rPr>
              <w:t xml:space="preserve">T2. Competition from other banks in attracting retail deposits </w:t>
            </w:r>
          </w:p>
          <w:p w:rsidR="00052EFF" w:rsidRPr="00052EFF" w:rsidRDefault="00052EFF" w:rsidP="00052EFF">
            <w:pPr>
              <w:contextualSpacing/>
              <w:textAlignment w:val="baseline"/>
              <w:rPr>
                <w:rFonts w:ascii="Arial" w:eastAsia="Times New Roman" w:hAnsi="Arial" w:cs="Arial"/>
                <w:color w:val="000000"/>
                <w:kern w:val="24"/>
                <w:lang w:val="en-US"/>
              </w:rPr>
            </w:pPr>
            <w:r w:rsidRPr="00052EFF">
              <w:rPr>
                <w:rFonts w:ascii="Arial" w:eastAsia="Times New Roman" w:hAnsi="Arial" w:cs="Arial"/>
                <w:color w:val="000000"/>
                <w:kern w:val="24"/>
                <w:lang w:val="en-US"/>
              </w:rPr>
              <w:t xml:space="preserve">T3. Online providers of ‘easy’ loans e.g. Wonga </w:t>
            </w:r>
          </w:p>
          <w:p w:rsidR="00052EFF" w:rsidRPr="00052EFF" w:rsidRDefault="00052EFF" w:rsidP="00052EFF">
            <w:pPr>
              <w:contextualSpacing/>
              <w:textAlignment w:val="baseline"/>
              <w:rPr>
                <w:rFonts w:ascii="Arial" w:eastAsia="Times New Roman" w:hAnsi="Arial" w:cs="Arial"/>
                <w:color w:val="000000"/>
                <w:kern w:val="24"/>
                <w:lang w:val="en-US"/>
              </w:rPr>
            </w:pPr>
            <w:r w:rsidRPr="00052EFF">
              <w:rPr>
                <w:rFonts w:ascii="Arial" w:eastAsia="Times New Roman" w:hAnsi="Arial" w:cs="Arial"/>
                <w:color w:val="000000"/>
                <w:kern w:val="24"/>
                <w:lang w:val="en-US"/>
              </w:rPr>
              <w:t xml:space="preserve">T4. Slow economic growth leading to client struggle in repaying loans </w:t>
            </w:r>
          </w:p>
          <w:p w:rsidR="00052EFF" w:rsidRPr="00052EFF" w:rsidRDefault="00052EFF" w:rsidP="00052EFF">
            <w:pPr>
              <w:spacing w:after="0" w:line="240" w:lineRule="auto"/>
              <w:contextualSpacing/>
              <w:textAlignment w:val="baseline"/>
              <w:rPr>
                <w:rFonts w:ascii="Arial" w:eastAsia="Times New Roman" w:hAnsi="Arial" w:cs="Arial"/>
                <w:color w:val="CCCCFF"/>
                <w:lang w:eastAsia="en-ZA"/>
              </w:rPr>
            </w:pPr>
          </w:p>
        </w:tc>
        <w:tc>
          <w:tcPr>
            <w:tcW w:w="309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r w:rsidRPr="00052EFF">
              <w:rPr>
                <w:rFonts w:ascii="Arial" w:eastAsia="Times New Roman" w:hAnsi="Arial" w:cs="Arial"/>
                <w:b/>
                <w:color w:val="000000"/>
                <w:kern w:val="24"/>
                <w:u w:val="single"/>
                <w:lang w:val="en-US" w:eastAsia="en-ZA"/>
              </w:rPr>
              <w:t xml:space="preserve">ST OPTIONS </w:t>
            </w:r>
          </w:p>
          <w:p w:rsidR="00C751A2" w:rsidRDefault="00C751A2" w:rsidP="00052EFF">
            <w:pPr>
              <w:spacing w:before="96" w:after="0" w:line="240" w:lineRule="auto"/>
              <w:textAlignment w:val="baseline"/>
              <w:rPr>
                <w:rFonts w:ascii="Arial" w:eastAsia="Times New Roman" w:hAnsi="Arial" w:cs="Arial"/>
                <w:b/>
                <w:color w:val="000000"/>
                <w:kern w:val="24"/>
                <w:u w:val="single"/>
                <w:lang w:val="en-US" w:eastAsia="en-ZA"/>
              </w:rPr>
            </w:pPr>
          </w:p>
          <w:p w:rsidR="00C751A2" w:rsidRPr="00C751A2" w:rsidRDefault="00C751A2" w:rsidP="00C751A2">
            <w:pPr>
              <w:pStyle w:val="ListParagraph"/>
              <w:numPr>
                <w:ilvl w:val="0"/>
                <w:numId w:val="5"/>
              </w:numPr>
              <w:spacing w:before="96"/>
              <w:textAlignment w:val="baseline"/>
              <w:rPr>
                <w:rFonts w:ascii="Arial" w:eastAsia="Times New Roman" w:hAnsi="Arial" w:cs="Arial"/>
                <w:color w:val="000000"/>
                <w:kern w:val="24"/>
                <w:lang w:eastAsia="en-ZA"/>
              </w:rPr>
            </w:pPr>
            <w:r w:rsidRPr="00C751A2">
              <w:rPr>
                <w:rFonts w:ascii="Arial" w:eastAsia="Times New Roman" w:hAnsi="Arial" w:cs="Arial"/>
                <w:bCs/>
                <w:color w:val="000000"/>
                <w:kern w:val="24"/>
                <w:lang w:val="en-US" w:eastAsia="en-ZA"/>
              </w:rPr>
              <w:t xml:space="preserve">S2 + T1: </w:t>
            </w:r>
            <w:r w:rsidRPr="00C751A2">
              <w:rPr>
                <w:rFonts w:ascii="Arial" w:eastAsia="Times New Roman" w:hAnsi="Arial" w:cs="Arial"/>
                <w:color w:val="000000"/>
                <w:kern w:val="24"/>
                <w:lang w:val="en-US" w:eastAsia="en-ZA"/>
              </w:rPr>
              <w:t xml:space="preserve">To neutralise competition on their Global One transactional offering, they can exploit the perception of being simple and transparent, a position they own in comparison with other banks. This can be punted through advertising and in conversations with customers whom will in return spread the word, through ‘word of mouth’ – in defense of Capitec!  </w:t>
            </w:r>
          </w:p>
          <w:p w:rsidR="00C751A2" w:rsidRPr="00C751A2" w:rsidRDefault="00C751A2" w:rsidP="00C751A2">
            <w:pPr>
              <w:pStyle w:val="ListParagraph"/>
              <w:spacing w:before="96" w:after="0" w:line="240" w:lineRule="auto"/>
              <w:textAlignment w:val="baseline"/>
              <w:rPr>
                <w:rFonts w:ascii="Arial" w:eastAsia="Times New Roman" w:hAnsi="Arial" w:cs="Arial"/>
                <w:b/>
                <w:color w:val="000000"/>
                <w:kern w:val="24"/>
                <w:u w:val="single"/>
                <w:lang w:val="en-US" w:eastAsia="en-ZA"/>
              </w:rPr>
            </w:pPr>
          </w:p>
        </w:tc>
        <w:tc>
          <w:tcPr>
            <w:tcW w:w="323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52EFF" w:rsidRDefault="00052EFF" w:rsidP="00052EFF">
            <w:pPr>
              <w:spacing w:before="96" w:after="0" w:line="240" w:lineRule="auto"/>
              <w:textAlignment w:val="baseline"/>
              <w:rPr>
                <w:rFonts w:ascii="Arial" w:eastAsia="Times New Roman" w:hAnsi="Arial" w:cs="Arial"/>
                <w:b/>
                <w:color w:val="000000"/>
                <w:kern w:val="24"/>
                <w:u w:val="single"/>
                <w:lang w:val="en-US" w:eastAsia="en-ZA"/>
              </w:rPr>
            </w:pPr>
            <w:r w:rsidRPr="00052EFF">
              <w:rPr>
                <w:rFonts w:ascii="Arial" w:eastAsia="Times New Roman" w:hAnsi="Arial" w:cs="Arial"/>
                <w:b/>
                <w:color w:val="000000"/>
                <w:kern w:val="24"/>
                <w:u w:val="single"/>
                <w:lang w:val="en-US" w:eastAsia="en-ZA"/>
              </w:rPr>
              <w:t xml:space="preserve">W &amp; T OPTIONS </w:t>
            </w:r>
          </w:p>
          <w:p w:rsidR="00C751A2" w:rsidRDefault="00C751A2" w:rsidP="00052EFF">
            <w:pPr>
              <w:spacing w:before="96" w:after="0" w:line="240" w:lineRule="auto"/>
              <w:textAlignment w:val="baseline"/>
              <w:rPr>
                <w:rFonts w:ascii="Arial" w:eastAsia="Times New Roman" w:hAnsi="Arial" w:cs="Arial"/>
                <w:b/>
                <w:color w:val="000000"/>
                <w:kern w:val="24"/>
                <w:u w:val="single"/>
                <w:lang w:val="en-US" w:eastAsia="en-ZA"/>
              </w:rPr>
            </w:pPr>
          </w:p>
          <w:p w:rsidR="00C751A2" w:rsidRDefault="00C751A2" w:rsidP="00C751A2">
            <w:pPr>
              <w:pStyle w:val="ListParagraph"/>
              <w:numPr>
                <w:ilvl w:val="0"/>
                <w:numId w:val="5"/>
              </w:numPr>
              <w:spacing w:before="96" w:after="0" w:line="240" w:lineRule="auto"/>
              <w:textAlignment w:val="baseline"/>
              <w:rPr>
                <w:rFonts w:ascii="Arial" w:eastAsia="Times New Roman" w:hAnsi="Arial" w:cs="Arial"/>
                <w:color w:val="000000"/>
                <w:kern w:val="24"/>
                <w:lang w:val="en-US" w:eastAsia="en-ZA"/>
              </w:rPr>
            </w:pPr>
            <w:r w:rsidRPr="00C751A2">
              <w:rPr>
                <w:rFonts w:ascii="Arial" w:eastAsia="Times New Roman" w:hAnsi="Arial" w:cs="Arial"/>
                <w:color w:val="000000"/>
                <w:kern w:val="24"/>
                <w:lang w:val="en-US" w:eastAsia="en-ZA"/>
              </w:rPr>
              <w:t>W1 - Fast track introduction of new products to diversifying income</w:t>
            </w:r>
          </w:p>
          <w:p w:rsidR="00C751A2" w:rsidRPr="00C751A2" w:rsidRDefault="00C751A2" w:rsidP="00C751A2">
            <w:pPr>
              <w:pStyle w:val="ListParagraph"/>
              <w:spacing w:before="96" w:after="0" w:line="240" w:lineRule="auto"/>
              <w:textAlignment w:val="baseline"/>
              <w:rPr>
                <w:rFonts w:ascii="Arial" w:eastAsia="Times New Roman" w:hAnsi="Arial" w:cs="Arial"/>
                <w:color w:val="000000"/>
                <w:kern w:val="24"/>
                <w:lang w:val="en-US" w:eastAsia="en-ZA"/>
              </w:rPr>
            </w:pPr>
          </w:p>
          <w:p w:rsidR="00C751A2" w:rsidRPr="00C751A2" w:rsidRDefault="00C751A2" w:rsidP="00C751A2">
            <w:pPr>
              <w:pStyle w:val="ListParagraph"/>
              <w:numPr>
                <w:ilvl w:val="0"/>
                <w:numId w:val="5"/>
              </w:numPr>
              <w:spacing w:before="96" w:after="0" w:line="240" w:lineRule="auto"/>
              <w:textAlignment w:val="baseline"/>
              <w:rPr>
                <w:rFonts w:ascii="Arial" w:eastAsia="Times New Roman" w:hAnsi="Arial" w:cs="Arial"/>
                <w:color w:val="000000"/>
                <w:kern w:val="24"/>
                <w:lang w:val="en-US" w:eastAsia="en-ZA"/>
              </w:rPr>
            </w:pPr>
            <w:r w:rsidRPr="00C751A2">
              <w:rPr>
                <w:rFonts w:ascii="Arial" w:eastAsia="Times New Roman" w:hAnsi="Arial" w:cs="Arial"/>
                <w:color w:val="000000"/>
                <w:kern w:val="24"/>
                <w:lang w:val="en-US" w:eastAsia="en-ZA"/>
              </w:rPr>
              <w:t xml:space="preserve">T4 - </w:t>
            </w:r>
            <w:r>
              <w:rPr>
                <w:rFonts w:ascii="Arial" w:eastAsia="Times New Roman" w:hAnsi="Arial" w:cs="Arial"/>
                <w:color w:val="000000"/>
                <w:kern w:val="24"/>
                <w:lang w:val="en-US" w:eastAsia="en-ZA"/>
              </w:rPr>
              <w:t>T</w:t>
            </w:r>
            <w:r w:rsidRPr="00C751A2">
              <w:rPr>
                <w:rFonts w:ascii="Arial" w:eastAsia="Times New Roman" w:hAnsi="Arial" w:cs="Arial"/>
                <w:color w:val="000000"/>
                <w:kern w:val="24"/>
                <w:lang w:val="en-US" w:eastAsia="en-ZA"/>
              </w:rPr>
              <w:t xml:space="preserve">ighten lending criteria in light of bleak economic climate so that credit is only extended to clients who are able to service debt. With regard to struggling clients, the bank should enter repayment agreements </w:t>
            </w:r>
            <w:r>
              <w:rPr>
                <w:rFonts w:ascii="Arial" w:eastAsia="Times New Roman" w:hAnsi="Arial" w:cs="Arial"/>
                <w:color w:val="000000"/>
                <w:kern w:val="24"/>
                <w:lang w:val="en-US" w:eastAsia="en-ZA"/>
              </w:rPr>
              <w:t>at reduced monthly instalments – a medium term measure that can be revisited in 6 months’ time.</w:t>
            </w:r>
          </w:p>
          <w:p w:rsidR="00C751A2" w:rsidRPr="00052EFF" w:rsidRDefault="00C751A2" w:rsidP="00052EFF">
            <w:pPr>
              <w:spacing w:before="96" w:after="0" w:line="240" w:lineRule="auto"/>
              <w:textAlignment w:val="baseline"/>
              <w:rPr>
                <w:rFonts w:ascii="Arial" w:eastAsia="Times New Roman" w:hAnsi="Arial" w:cs="Arial"/>
                <w:b/>
                <w:u w:val="single"/>
                <w:lang w:eastAsia="en-ZA"/>
              </w:rPr>
            </w:pPr>
          </w:p>
        </w:tc>
      </w:tr>
    </w:tbl>
    <w:p w:rsidR="00052EFF" w:rsidRDefault="00052EFF" w:rsidP="00052EFF">
      <w:pPr>
        <w:rPr>
          <w:rFonts w:ascii="Arial" w:hAnsi="Arial" w:cs="Arial"/>
        </w:rPr>
      </w:pPr>
    </w:p>
    <w:p w:rsidR="00052EFF" w:rsidRPr="00052EFF" w:rsidRDefault="00052EFF" w:rsidP="00052EFF">
      <w:pPr>
        <w:rPr>
          <w:rFonts w:ascii="Arial" w:hAnsi="Arial" w:cs="Arial"/>
        </w:rPr>
      </w:pPr>
      <w:bookmarkStart w:id="0" w:name="_GoBack"/>
      <w:bookmarkEnd w:id="0"/>
    </w:p>
    <w:sectPr w:rsidR="00052EFF" w:rsidRPr="00052EFF" w:rsidSect="00052E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7E" w:rsidRDefault="00A4757E" w:rsidP="00C751A2">
      <w:pPr>
        <w:spacing w:after="0" w:line="240" w:lineRule="auto"/>
      </w:pPr>
      <w:r>
        <w:separator/>
      </w:r>
    </w:p>
  </w:endnote>
  <w:endnote w:type="continuationSeparator" w:id="0">
    <w:p w:rsidR="00A4757E" w:rsidRDefault="00A4757E" w:rsidP="00C7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A2" w:rsidRDefault="00C751A2" w:rsidP="00C751A2">
    <w:pPr>
      <w:pStyle w:val="Footer"/>
      <w:jc w:val="center"/>
    </w:pPr>
    <w:r>
      <w:t>© PurpleGrowth Consulting. Training. Coaching.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7E" w:rsidRDefault="00A4757E" w:rsidP="00C751A2">
      <w:pPr>
        <w:spacing w:after="0" w:line="240" w:lineRule="auto"/>
      </w:pPr>
      <w:r>
        <w:separator/>
      </w:r>
    </w:p>
  </w:footnote>
  <w:footnote w:type="continuationSeparator" w:id="0">
    <w:p w:rsidR="00A4757E" w:rsidRDefault="00A4757E" w:rsidP="00C75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5FBD"/>
    <w:multiLevelType w:val="hybridMultilevel"/>
    <w:tmpl w:val="974E0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447EDC"/>
    <w:multiLevelType w:val="hybridMultilevel"/>
    <w:tmpl w:val="04EAE088"/>
    <w:lvl w:ilvl="0" w:tplc="7A00BAB6">
      <w:start w:val="1"/>
      <w:numFmt w:val="decimal"/>
      <w:lvlText w:val="%1."/>
      <w:lvlJc w:val="left"/>
      <w:pPr>
        <w:tabs>
          <w:tab w:val="num" w:pos="720"/>
        </w:tabs>
        <w:ind w:left="720" w:hanging="360"/>
      </w:pPr>
    </w:lvl>
    <w:lvl w:ilvl="1" w:tplc="78D4DD4A" w:tentative="1">
      <w:start w:val="1"/>
      <w:numFmt w:val="decimal"/>
      <w:lvlText w:val="%2."/>
      <w:lvlJc w:val="left"/>
      <w:pPr>
        <w:tabs>
          <w:tab w:val="num" w:pos="1440"/>
        </w:tabs>
        <w:ind w:left="1440" w:hanging="360"/>
      </w:pPr>
    </w:lvl>
    <w:lvl w:ilvl="2" w:tplc="0068D508" w:tentative="1">
      <w:start w:val="1"/>
      <w:numFmt w:val="decimal"/>
      <w:lvlText w:val="%3."/>
      <w:lvlJc w:val="left"/>
      <w:pPr>
        <w:tabs>
          <w:tab w:val="num" w:pos="2160"/>
        </w:tabs>
        <w:ind w:left="2160" w:hanging="360"/>
      </w:pPr>
    </w:lvl>
    <w:lvl w:ilvl="3" w:tplc="1898EB5C" w:tentative="1">
      <w:start w:val="1"/>
      <w:numFmt w:val="decimal"/>
      <w:lvlText w:val="%4."/>
      <w:lvlJc w:val="left"/>
      <w:pPr>
        <w:tabs>
          <w:tab w:val="num" w:pos="2880"/>
        </w:tabs>
        <w:ind w:left="2880" w:hanging="360"/>
      </w:pPr>
    </w:lvl>
    <w:lvl w:ilvl="4" w:tplc="C198879A" w:tentative="1">
      <w:start w:val="1"/>
      <w:numFmt w:val="decimal"/>
      <w:lvlText w:val="%5."/>
      <w:lvlJc w:val="left"/>
      <w:pPr>
        <w:tabs>
          <w:tab w:val="num" w:pos="3600"/>
        </w:tabs>
        <w:ind w:left="3600" w:hanging="360"/>
      </w:pPr>
    </w:lvl>
    <w:lvl w:ilvl="5" w:tplc="AFCA4F9E" w:tentative="1">
      <w:start w:val="1"/>
      <w:numFmt w:val="decimal"/>
      <w:lvlText w:val="%6."/>
      <w:lvlJc w:val="left"/>
      <w:pPr>
        <w:tabs>
          <w:tab w:val="num" w:pos="4320"/>
        </w:tabs>
        <w:ind w:left="4320" w:hanging="360"/>
      </w:pPr>
    </w:lvl>
    <w:lvl w:ilvl="6" w:tplc="D6B4773C" w:tentative="1">
      <w:start w:val="1"/>
      <w:numFmt w:val="decimal"/>
      <w:lvlText w:val="%7."/>
      <w:lvlJc w:val="left"/>
      <w:pPr>
        <w:tabs>
          <w:tab w:val="num" w:pos="5040"/>
        </w:tabs>
        <w:ind w:left="5040" w:hanging="360"/>
      </w:pPr>
    </w:lvl>
    <w:lvl w:ilvl="7" w:tplc="C7DCF2E0" w:tentative="1">
      <w:start w:val="1"/>
      <w:numFmt w:val="decimal"/>
      <w:lvlText w:val="%8."/>
      <w:lvlJc w:val="left"/>
      <w:pPr>
        <w:tabs>
          <w:tab w:val="num" w:pos="5760"/>
        </w:tabs>
        <w:ind w:left="5760" w:hanging="360"/>
      </w:pPr>
    </w:lvl>
    <w:lvl w:ilvl="8" w:tplc="21B6BB80" w:tentative="1">
      <w:start w:val="1"/>
      <w:numFmt w:val="decimal"/>
      <w:lvlText w:val="%9."/>
      <w:lvlJc w:val="left"/>
      <w:pPr>
        <w:tabs>
          <w:tab w:val="num" w:pos="6480"/>
        </w:tabs>
        <w:ind w:left="6480" w:hanging="360"/>
      </w:pPr>
    </w:lvl>
  </w:abstractNum>
  <w:abstractNum w:abstractNumId="2" w15:restartNumberingAfterBreak="0">
    <w:nsid w:val="0CB51EEA"/>
    <w:multiLevelType w:val="hybridMultilevel"/>
    <w:tmpl w:val="51B4F652"/>
    <w:lvl w:ilvl="0" w:tplc="66C86620">
      <w:start w:val="1"/>
      <w:numFmt w:val="decimal"/>
      <w:lvlText w:val="%1."/>
      <w:lvlJc w:val="left"/>
      <w:pPr>
        <w:tabs>
          <w:tab w:val="num" w:pos="720"/>
        </w:tabs>
        <w:ind w:left="720" w:hanging="360"/>
      </w:pPr>
    </w:lvl>
    <w:lvl w:ilvl="1" w:tplc="56241CF8" w:tentative="1">
      <w:start w:val="1"/>
      <w:numFmt w:val="decimal"/>
      <w:lvlText w:val="%2."/>
      <w:lvlJc w:val="left"/>
      <w:pPr>
        <w:tabs>
          <w:tab w:val="num" w:pos="1440"/>
        </w:tabs>
        <w:ind w:left="1440" w:hanging="360"/>
      </w:pPr>
    </w:lvl>
    <w:lvl w:ilvl="2" w:tplc="A484F9F2" w:tentative="1">
      <w:start w:val="1"/>
      <w:numFmt w:val="decimal"/>
      <w:lvlText w:val="%3."/>
      <w:lvlJc w:val="left"/>
      <w:pPr>
        <w:tabs>
          <w:tab w:val="num" w:pos="2160"/>
        </w:tabs>
        <w:ind w:left="2160" w:hanging="360"/>
      </w:pPr>
    </w:lvl>
    <w:lvl w:ilvl="3" w:tplc="6BDA0E76" w:tentative="1">
      <w:start w:val="1"/>
      <w:numFmt w:val="decimal"/>
      <w:lvlText w:val="%4."/>
      <w:lvlJc w:val="left"/>
      <w:pPr>
        <w:tabs>
          <w:tab w:val="num" w:pos="2880"/>
        </w:tabs>
        <w:ind w:left="2880" w:hanging="360"/>
      </w:pPr>
    </w:lvl>
    <w:lvl w:ilvl="4" w:tplc="120E0058" w:tentative="1">
      <w:start w:val="1"/>
      <w:numFmt w:val="decimal"/>
      <w:lvlText w:val="%5."/>
      <w:lvlJc w:val="left"/>
      <w:pPr>
        <w:tabs>
          <w:tab w:val="num" w:pos="3600"/>
        </w:tabs>
        <w:ind w:left="3600" w:hanging="360"/>
      </w:pPr>
    </w:lvl>
    <w:lvl w:ilvl="5" w:tplc="69345450" w:tentative="1">
      <w:start w:val="1"/>
      <w:numFmt w:val="decimal"/>
      <w:lvlText w:val="%6."/>
      <w:lvlJc w:val="left"/>
      <w:pPr>
        <w:tabs>
          <w:tab w:val="num" w:pos="4320"/>
        </w:tabs>
        <w:ind w:left="4320" w:hanging="360"/>
      </w:pPr>
    </w:lvl>
    <w:lvl w:ilvl="6" w:tplc="F63277E6" w:tentative="1">
      <w:start w:val="1"/>
      <w:numFmt w:val="decimal"/>
      <w:lvlText w:val="%7."/>
      <w:lvlJc w:val="left"/>
      <w:pPr>
        <w:tabs>
          <w:tab w:val="num" w:pos="5040"/>
        </w:tabs>
        <w:ind w:left="5040" w:hanging="360"/>
      </w:pPr>
    </w:lvl>
    <w:lvl w:ilvl="7" w:tplc="3EAEF234" w:tentative="1">
      <w:start w:val="1"/>
      <w:numFmt w:val="decimal"/>
      <w:lvlText w:val="%8."/>
      <w:lvlJc w:val="left"/>
      <w:pPr>
        <w:tabs>
          <w:tab w:val="num" w:pos="5760"/>
        </w:tabs>
        <w:ind w:left="5760" w:hanging="360"/>
      </w:pPr>
    </w:lvl>
    <w:lvl w:ilvl="8" w:tplc="69124F5A" w:tentative="1">
      <w:start w:val="1"/>
      <w:numFmt w:val="decimal"/>
      <w:lvlText w:val="%9."/>
      <w:lvlJc w:val="left"/>
      <w:pPr>
        <w:tabs>
          <w:tab w:val="num" w:pos="6480"/>
        </w:tabs>
        <w:ind w:left="6480" w:hanging="360"/>
      </w:pPr>
    </w:lvl>
  </w:abstractNum>
  <w:abstractNum w:abstractNumId="3" w15:restartNumberingAfterBreak="0">
    <w:nsid w:val="28713AFB"/>
    <w:multiLevelType w:val="hybridMultilevel"/>
    <w:tmpl w:val="B870247A"/>
    <w:lvl w:ilvl="0" w:tplc="CC8CC0A0">
      <w:start w:val="1"/>
      <w:numFmt w:val="decimal"/>
      <w:lvlText w:val="%1."/>
      <w:lvlJc w:val="left"/>
      <w:pPr>
        <w:tabs>
          <w:tab w:val="num" w:pos="720"/>
        </w:tabs>
        <w:ind w:left="720" w:hanging="360"/>
      </w:pPr>
    </w:lvl>
    <w:lvl w:ilvl="1" w:tplc="7500DEA2" w:tentative="1">
      <w:start w:val="1"/>
      <w:numFmt w:val="decimal"/>
      <w:lvlText w:val="%2."/>
      <w:lvlJc w:val="left"/>
      <w:pPr>
        <w:tabs>
          <w:tab w:val="num" w:pos="1440"/>
        </w:tabs>
        <w:ind w:left="1440" w:hanging="360"/>
      </w:pPr>
    </w:lvl>
    <w:lvl w:ilvl="2" w:tplc="874E3046" w:tentative="1">
      <w:start w:val="1"/>
      <w:numFmt w:val="decimal"/>
      <w:lvlText w:val="%3."/>
      <w:lvlJc w:val="left"/>
      <w:pPr>
        <w:tabs>
          <w:tab w:val="num" w:pos="2160"/>
        </w:tabs>
        <w:ind w:left="2160" w:hanging="360"/>
      </w:pPr>
    </w:lvl>
    <w:lvl w:ilvl="3" w:tplc="435E0090" w:tentative="1">
      <w:start w:val="1"/>
      <w:numFmt w:val="decimal"/>
      <w:lvlText w:val="%4."/>
      <w:lvlJc w:val="left"/>
      <w:pPr>
        <w:tabs>
          <w:tab w:val="num" w:pos="2880"/>
        </w:tabs>
        <w:ind w:left="2880" w:hanging="360"/>
      </w:pPr>
    </w:lvl>
    <w:lvl w:ilvl="4" w:tplc="DA5A421A" w:tentative="1">
      <w:start w:val="1"/>
      <w:numFmt w:val="decimal"/>
      <w:lvlText w:val="%5."/>
      <w:lvlJc w:val="left"/>
      <w:pPr>
        <w:tabs>
          <w:tab w:val="num" w:pos="3600"/>
        </w:tabs>
        <w:ind w:left="3600" w:hanging="360"/>
      </w:pPr>
    </w:lvl>
    <w:lvl w:ilvl="5" w:tplc="310CF4F0" w:tentative="1">
      <w:start w:val="1"/>
      <w:numFmt w:val="decimal"/>
      <w:lvlText w:val="%6."/>
      <w:lvlJc w:val="left"/>
      <w:pPr>
        <w:tabs>
          <w:tab w:val="num" w:pos="4320"/>
        </w:tabs>
        <w:ind w:left="4320" w:hanging="360"/>
      </w:pPr>
    </w:lvl>
    <w:lvl w:ilvl="6" w:tplc="58C87A66" w:tentative="1">
      <w:start w:val="1"/>
      <w:numFmt w:val="decimal"/>
      <w:lvlText w:val="%7."/>
      <w:lvlJc w:val="left"/>
      <w:pPr>
        <w:tabs>
          <w:tab w:val="num" w:pos="5040"/>
        </w:tabs>
        <w:ind w:left="5040" w:hanging="360"/>
      </w:pPr>
    </w:lvl>
    <w:lvl w:ilvl="7" w:tplc="214E344A" w:tentative="1">
      <w:start w:val="1"/>
      <w:numFmt w:val="decimal"/>
      <w:lvlText w:val="%8."/>
      <w:lvlJc w:val="left"/>
      <w:pPr>
        <w:tabs>
          <w:tab w:val="num" w:pos="5760"/>
        </w:tabs>
        <w:ind w:left="5760" w:hanging="360"/>
      </w:pPr>
    </w:lvl>
    <w:lvl w:ilvl="8" w:tplc="8BBE6754" w:tentative="1">
      <w:start w:val="1"/>
      <w:numFmt w:val="decimal"/>
      <w:lvlText w:val="%9."/>
      <w:lvlJc w:val="left"/>
      <w:pPr>
        <w:tabs>
          <w:tab w:val="num" w:pos="6480"/>
        </w:tabs>
        <w:ind w:left="6480" w:hanging="360"/>
      </w:pPr>
    </w:lvl>
  </w:abstractNum>
  <w:abstractNum w:abstractNumId="4" w15:restartNumberingAfterBreak="0">
    <w:nsid w:val="7086100C"/>
    <w:multiLevelType w:val="hybridMultilevel"/>
    <w:tmpl w:val="8652A0D6"/>
    <w:lvl w:ilvl="0" w:tplc="B344A532">
      <w:start w:val="1"/>
      <w:numFmt w:val="decimal"/>
      <w:lvlText w:val="%1."/>
      <w:lvlJc w:val="left"/>
      <w:pPr>
        <w:tabs>
          <w:tab w:val="num" w:pos="720"/>
        </w:tabs>
        <w:ind w:left="720" w:hanging="360"/>
      </w:pPr>
    </w:lvl>
    <w:lvl w:ilvl="1" w:tplc="FA42609C" w:tentative="1">
      <w:start w:val="1"/>
      <w:numFmt w:val="decimal"/>
      <w:lvlText w:val="%2."/>
      <w:lvlJc w:val="left"/>
      <w:pPr>
        <w:tabs>
          <w:tab w:val="num" w:pos="1440"/>
        </w:tabs>
        <w:ind w:left="1440" w:hanging="360"/>
      </w:pPr>
    </w:lvl>
    <w:lvl w:ilvl="2" w:tplc="CE181DD4" w:tentative="1">
      <w:start w:val="1"/>
      <w:numFmt w:val="decimal"/>
      <w:lvlText w:val="%3."/>
      <w:lvlJc w:val="left"/>
      <w:pPr>
        <w:tabs>
          <w:tab w:val="num" w:pos="2160"/>
        </w:tabs>
        <w:ind w:left="2160" w:hanging="360"/>
      </w:pPr>
    </w:lvl>
    <w:lvl w:ilvl="3" w:tplc="A5F2E0CC" w:tentative="1">
      <w:start w:val="1"/>
      <w:numFmt w:val="decimal"/>
      <w:lvlText w:val="%4."/>
      <w:lvlJc w:val="left"/>
      <w:pPr>
        <w:tabs>
          <w:tab w:val="num" w:pos="2880"/>
        </w:tabs>
        <w:ind w:left="2880" w:hanging="360"/>
      </w:pPr>
    </w:lvl>
    <w:lvl w:ilvl="4" w:tplc="80B4F3E6" w:tentative="1">
      <w:start w:val="1"/>
      <w:numFmt w:val="decimal"/>
      <w:lvlText w:val="%5."/>
      <w:lvlJc w:val="left"/>
      <w:pPr>
        <w:tabs>
          <w:tab w:val="num" w:pos="3600"/>
        </w:tabs>
        <w:ind w:left="3600" w:hanging="360"/>
      </w:pPr>
    </w:lvl>
    <w:lvl w:ilvl="5" w:tplc="52A8618C" w:tentative="1">
      <w:start w:val="1"/>
      <w:numFmt w:val="decimal"/>
      <w:lvlText w:val="%6."/>
      <w:lvlJc w:val="left"/>
      <w:pPr>
        <w:tabs>
          <w:tab w:val="num" w:pos="4320"/>
        </w:tabs>
        <w:ind w:left="4320" w:hanging="360"/>
      </w:pPr>
    </w:lvl>
    <w:lvl w:ilvl="6" w:tplc="B1C08CC4" w:tentative="1">
      <w:start w:val="1"/>
      <w:numFmt w:val="decimal"/>
      <w:lvlText w:val="%7."/>
      <w:lvlJc w:val="left"/>
      <w:pPr>
        <w:tabs>
          <w:tab w:val="num" w:pos="5040"/>
        </w:tabs>
        <w:ind w:left="5040" w:hanging="360"/>
      </w:pPr>
    </w:lvl>
    <w:lvl w:ilvl="7" w:tplc="AABC96FA" w:tentative="1">
      <w:start w:val="1"/>
      <w:numFmt w:val="decimal"/>
      <w:lvlText w:val="%8."/>
      <w:lvlJc w:val="left"/>
      <w:pPr>
        <w:tabs>
          <w:tab w:val="num" w:pos="5760"/>
        </w:tabs>
        <w:ind w:left="5760" w:hanging="360"/>
      </w:pPr>
    </w:lvl>
    <w:lvl w:ilvl="8" w:tplc="80BE8DDC"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FF"/>
    <w:rsid w:val="00052EFF"/>
    <w:rsid w:val="00741720"/>
    <w:rsid w:val="00A4757E"/>
    <w:rsid w:val="00C75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E9EF0-9C12-4E32-837E-66B447A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EF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052EFF"/>
    <w:pPr>
      <w:ind w:left="720"/>
      <w:contextualSpacing/>
    </w:pPr>
  </w:style>
  <w:style w:type="paragraph" w:styleId="Header">
    <w:name w:val="header"/>
    <w:basedOn w:val="Normal"/>
    <w:link w:val="HeaderChar"/>
    <w:uiPriority w:val="99"/>
    <w:unhideWhenUsed/>
    <w:rsid w:val="00C7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A2"/>
  </w:style>
  <w:style w:type="paragraph" w:styleId="Footer">
    <w:name w:val="footer"/>
    <w:basedOn w:val="Normal"/>
    <w:link w:val="FooterChar"/>
    <w:uiPriority w:val="99"/>
    <w:unhideWhenUsed/>
    <w:rsid w:val="00C7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3659">
      <w:bodyDiv w:val="1"/>
      <w:marLeft w:val="0"/>
      <w:marRight w:val="0"/>
      <w:marTop w:val="0"/>
      <w:marBottom w:val="0"/>
      <w:divBdr>
        <w:top w:val="none" w:sz="0" w:space="0" w:color="auto"/>
        <w:left w:val="none" w:sz="0" w:space="0" w:color="auto"/>
        <w:bottom w:val="none" w:sz="0" w:space="0" w:color="auto"/>
        <w:right w:val="none" w:sz="0" w:space="0" w:color="auto"/>
      </w:divBdr>
    </w:div>
    <w:div w:id="955603439">
      <w:bodyDiv w:val="1"/>
      <w:marLeft w:val="0"/>
      <w:marRight w:val="0"/>
      <w:marTop w:val="0"/>
      <w:marBottom w:val="0"/>
      <w:divBdr>
        <w:top w:val="none" w:sz="0" w:space="0" w:color="auto"/>
        <w:left w:val="none" w:sz="0" w:space="0" w:color="auto"/>
        <w:bottom w:val="none" w:sz="0" w:space="0" w:color="auto"/>
        <w:right w:val="none" w:sz="0" w:space="0" w:color="auto"/>
      </w:divBdr>
    </w:div>
    <w:div w:id="998576920">
      <w:bodyDiv w:val="1"/>
      <w:marLeft w:val="0"/>
      <w:marRight w:val="0"/>
      <w:marTop w:val="0"/>
      <w:marBottom w:val="0"/>
      <w:divBdr>
        <w:top w:val="none" w:sz="0" w:space="0" w:color="auto"/>
        <w:left w:val="none" w:sz="0" w:space="0" w:color="auto"/>
        <w:bottom w:val="none" w:sz="0" w:space="0" w:color="auto"/>
        <w:right w:val="none" w:sz="0" w:space="0" w:color="auto"/>
      </w:divBdr>
    </w:div>
    <w:div w:id="1083146062">
      <w:bodyDiv w:val="1"/>
      <w:marLeft w:val="0"/>
      <w:marRight w:val="0"/>
      <w:marTop w:val="0"/>
      <w:marBottom w:val="0"/>
      <w:divBdr>
        <w:top w:val="none" w:sz="0" w:space="0" w:color="auto"/>
        <w:left w:val="none" w:sz="0" w:space="0" w:color="auto"/>
        <w:bottom w:val="none" w:sz="0" w:space="0" w:color="auto"/>
        <w:right w:val="none" w:sz="0" w:space="0" w:color="auto"/>
      </w:divBdr>
      <w:divsChild>
        <w:div w:id="75783437">
          <w:marLeft w:val="835"/>
          <w:marRight w:val="0"/>
          <w:marTop w:val="77"/>
          <w:marBottom w:val="0"/>
          <w:divBdr>
            <w:top w:val="none" w:sz="0" w:space="0" w:color="auto"/>
            <w:left w:val="none" w:sz="0" w:space="0" w:color="auto"/>
            <w:bottom w:val="none" w:sz="0" w:space="0" w:color="auto"/>
            <w:right w:val="none" w:sz="0" w:space="0" w:color="auto"/>
          </w:divBdr>
        </w:div>
        <w:div w:id="513885624">
          <w:marLeft w:val="835"/>
          <w:marRight w:val="0"/>
          <w:marTop w:val="77"/>
          <w:marBottom w:val="0"/>
          <w:divBdr>
            <w:top w:val="none" w:sz="0" w:space="0" w:color="auto"/>
            <w:left w:val="none" w:sz="0" w:space="0" w:color="auto"/>
            <w:bottom w:val="none" w:sz="0" w:space="0" w:color="auto"/>
            <w:right w:val="none" w:sz="0" w:space="0" w:color="auto"/>
          </w:divBdr>
        </w:div>
        <w:div w:id="1751848178">
          <w:marLeft w:val="835"/>
          <w:marRight w:val="0"/>
          <w:marTop w:val="77"/>
          <w:marBottom w:val="0"/>
          <w:divBdr>
            <w:top w:val="none" w:sz="0" w:space="0" w:color="auto"/>
            <w:left w:val="none" w:sz="0" w:space="0" w:color="auto"/>
            <w:bottom w:val="none" w:sz="0" w:space="0" w:color="auto"/>
            <w:right w:val="none" w:sz="0" w:space="0" w:color="auto"/>
          </w:divBdr>
        </w:div>
        <w:div w:id="114758619">
          <w:marLeft w:val="835"/>
          <w:marRight w:val="0"/>
          <w:marTop w:val="77"/>
          <w:marBottom w:val="0"/>
          <w:divBdr>
            <w:top w:val="none" w:sz="0" w:space="0" w:color="auto"/>
            <w:left w:val="none" w:sz="0" w:space="0" w:color="auto"/>
            <w:bottom w:val="none" w:sz="0" w:space="0" w:color="auto"/>
            <w:right w:val="none" w:sz="0" w:space="0" w:color="auto"/>
          </w:divBdr>
        </w:div>
        <w:div w:id="1520043563">
          <w:marLeft w:val="835"/>
          <w:marRight w:val="0"/>
          <w:marTop w:val="77"/>
          <w:marBottom w:val="0"/>
          <w:divBdr>
            <w:top w:val="none" w:sz="0" w:space="0" w:color="auto"/>
            <w:left w:val="none" w:sz="0" w:space="0" w:color="auto"/>
            <w:bottom w:val="none" w:sz="0" w:space="0" w:color="auto"/>
            <w:right w:val="none" w:sz="0" w:space="0" w:color="auto"/>
          </w:divBdr>
        </w:div>
        <w:div w:id="1032346640">
          <w:marLeft w:val="835"/>
          <w:marRight w:val="0"/>
          <w:marTop w:val="77"/>
          <w:marBottom w:val="0"/>
          <w:divBdr>
            <w:top w:val="none" w:sz="0" w:space="0" w:color="auto"/>
            <w:left w:val="none" w:sz="0" w:space="0" w:color="auto"/>
            <w:bottom w:val="none" w:sz="0" w:space="0" w:color="auto"/>
            <w:right w:val="none" w:sz="0" w:space="0" w:color="auto"/>
          </w:divBdr>
        </w:div>
        <w:div w:id="2124835576">
          <w:marLeft w:val="835"/>
          <w:marRight w:val="0"/>
          <w:marTop w:val="77"/>
          <w:marBottom w:val="0"/>
          <w:divBdr>
            <w:top w:val="none" w:sz="0" w:space="0" w:color="auto"/>
            <w:left w:val="none" w:sz="0" w:space="0" w:color="auto"/>
            <w:bottom w:val="none" w:sz="0" w:space="0" w:color="auto"/>
            <w:right w:val="none" w:sz="0" w:space="0" w:color="auto"/>
          </w:divBdr>
        </w:div>
        <w:div w:id="1407141569">
          <w:marLeft w:val="835"/>
          <w:marRight w:val="0"/>
          <w:marTop w:val="77"/>
          <w:marBottom w:val="0"/>
          <w:divBdr>
            <w:top w:val="none" w:sz="0" w:space="0" w:color="auto"/>
            <w:left w:val="none" w:sz="0" w:space="0" w:color="auto"/>
            <w:bottom w:val="none" w:sz="0" w:space="0" w:color="auto"/>
            <w:right w:val="none" w:sz="0" w:space="0" w:color="auto"/>
          </w:divBdr>
        </w:div>
        <w:div w:id="305357044">
          <w:marLeft w:val="835"/>
          <w:marRight w:val="0"/>
          <w:marTop w:val="77"/>
          <w:marBottom w:val="0"/>
          <w:divBdr>
            <w:top w:val="none" w:sz="0" w:space="0" w:color="auto"/>
            <w:left w:val="none" w:sz="0" w:space="0" w:color="auto"/>
            <w:bottom w:val="none" w:sz="0" w:space="0" w:color="auto"/>
            <w:right w:val="none" w:sz="0" w:space="0" w:color="auto"/>
          </w:divBdr>
        </w:div>
        <w:div w:id="572590704">
          <w:marLeft w:val="835"/>
          <w:marRight w:val="0"/>
          <w:marTop w:val="77"/>
          <w:marBottom w:val="0"/>
          <w:divBdr>
            <w:top w:val="none" w:sz="0" w:space="0" w:color="auto"/>
            <w:left w:val="none" w:sz="0" w:space="0" w:color="auto"/>
            <w:bottom w:val="none" w:sz="0" w:space="0" w:color="auto"/>
            <w:right w:val="none" w:sz="0" w:space="0" w:color="auto"/>
          </w:divBdr>
        </w:div>
        <w:div w:id="1738241126">
          <w:marLeft w:val="835"/>
          <w:marRight w:val="0"/>
          <w:marTop w:val="77"/>
          <w:marBottom w:val="0"/>
          <w:divBdr>
            <w:top w:val="none" w:sz="0" w:space="0" w:color="auto"/>
            <w:left w:val="none" w:sz="0" w:space="0" w:color="auto"/>
            <w:bottom w:val="none" w:sz="0" w:space="0" w:color="auto"/>
            <w:right w:val="none" w:sz="0" w:space="0" w:color="auto"/>
          </w:divBdr>
        </w:div>
      </w:divsChild>
    </w:div>
    <w:div w:id="1658144262">
      <w:bodyDiv w:val="1"/>
      <w:marLeft w:val="0"/>
      <w:marRight w:val="0"/>
      <w:marTop w:val="0"/>
      <w:marBottom w:val="0"/>
      <w:divBdr>
        <w:top w:val="none" w:sz="0" w:space="0" w:color="auto"/>
        <w:left w:val="none" w:sz="0" w:space="0" w:color="auto"/>
        <w:bottom w:val="none" w:sz="0" w:space="0" w:color="auto"/>
        <w:right w:val="none" w:sz="0" w:space="0" w:color="auto"/>
      </w:divBdr>
    </w:div>
    <w:div w:id="1730112578">
      <w:bodyDiv w:val="1"/>
      <w:marLeft w:val="0"/>
      <w:marRight w:val="0"/>
      <w:marTop w:val="0"/>
      <w:marBottom w:val="0"/>
      <w:divBdr>
        <w:top w:val="none" w:sz="0" w:space="0" w:color="auto"/>
        <w:left w:val="none" w:sz="0" w:space="0" w:color="auto"/>
        <w:bottom w:val="none" w:sz="0" w:space="0" w:color="auto"/>
        <w:right w:val="none" w:sz="0" w:space="0" w:color="auto"/>
      </w:divBdr>
    </w:div>
    <w:div w:id="1744062874">
      <w:bodyDiv w:val="1"/>
      <w:marLeft w:val="0"/>
      <w:marRight w:val="0"/>
      <w:marTop w:val="0"/>
      <w:marBottom w:val="0"/>
      <w:divBdr>
        <w:top w:val="none" w:sz="0" w:space="0" w:color="auto"/>
        <w:left w:val="none" w:sz="0" w:space="0" w:color="auto"/>
        <w:bottom w:val="none" w:sz="0" w:space="0" w:color="auto"/>
        <w:right w:val="none" w:sz="0" w:space="0" w:color="auto"/>
      </w:divBdr>
    </w:div>
    <w:div w:id="1924682005">
      <w:bodyDiv w:val="1"/>
      <w:marLeft w:val="0"/>
      <w:marRight w:val="0"/>
      <w:marTop w:val="0"/>
      <w:marBottom w:val="0"/>
      <w:divBdr>
        <w:top w:val="none" w:sz="0" w:space="0" w:color="auto"/>
        <w:left w:val="none" w:sz="0" w:space="0" w:color="auto"/>
        <w:bottom w:val="none" w:sz="0" w:space="0" w:color="auto"/>
        <w:right w:val="none" w:sz="0" w:space="0" w:color="auto"/>
      </w:divBdr>
    </w:div>
    <w:div w:id="19799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Mzoxolo</dc:creator>
  <cp:keywords/>
  <dc:description/>
  <cp:lastModifiedBy>Mzoxolo</cp:lastModifiedBy>
  <cp:revision>1</cp:revision>
  <dcterms:created xsi:type="dcterms:W3CDTF">2019-05-23T10:31:00Z</dcterms:created>
  <dcterms:modified xsi:type="dcterms:W3CDTF">2019-05-23T10:49:00Z</dcterms:modified>
</cp:coreProperties>
</file>